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098B" w14:textId="77777777" w:rsidR="005224A9" w:rsidRDefault="005224A9">
      <w:pPr>
        <w:pBdr>
          <w:top w:val="nil"/>
          <w:left w:val="nil"/>
          <w:bottom w:val="nil"/>
          <w:right w:val="nil"/>
          <w:between w:val="nil"/>
        </w:pBdr>
        <w:spacing w:line="276" w:lineRule="auto"/>
        <w:rPr>
          <w:color w:val="000000"/>
          <w:sz w:val="22"/>
          <w:szCs w:val="22"/>
        </w:rPr>
      </w:pPr>
    </w:p>
    <w:tbl>
      <w:tblPr>
        <w:tblStyle w:val="a"/>
        <w:tblW w:w="10456" w:type="dxa"/>
        <w:tblLayout w:type="fixed"/>
        <w:tblLook w:val="0000" w:firstRow="0" w:lastRow="0" w:firstColumn="0" w:lastColumn="0" w:noHBand="0" w:noVBand="0"/>
      </w:tblPr>
      <w:tblGrid>
        <w:gridCol w:w="3009"/>
        <w:gridCol w:w="282"/>
        <w:gridCol w:w="7165"/>
      </w:tblGrid>
      <w:tr w:rsidR="005224A9" w14:paraId="717BBC0B" w14:textId="77777777">
        <w:trPr>
          <w:cantSplit/>
        </w:trPr>
        <w:tc>
          <w:tcPr>
            <w:tcW w:w="3009" w:type="dxa"/>
            <w:tcBorders>
              <w:top w:val="single" w:sz="12" w:space="0" w:color="000000"/>
              <w:left w:val="single" w:sz="12" w:space="0" w:color="000000"/>
              <w:bottom w:val="single" w:sz="24" w:space="0" w:color="000000"/>
              <w:right w:val="single" w:sz="24" w:space="0" w:color="000000"/>
            </w:tcBorders>
            <w:shd w:val="clear" w:color="auto" w:fill="auto"/>
          </w:tcPr>
          <w:p w14:paraId="7633CF97" w14:textId="287EDED6" w:rsidR="005224A9" w:rsidRDefault="0080418C">
            <w:pPr>
              <w:rPr>
                <w:rFonts w:ascii="Avenir" w:eastAsia="Avenir" w:hAnsi="Avenir" w:cs="Avenir"/>
              </w:rPr>
            </w:pPr>
            <w:r>
              <w:rPr>
                <w:rFonts w:ascii="Avenir" w:eastAsia="Avenir" w:hAnsi="Avenir" w:cs="Avenir"/>
                <w:noProof/>
              </w:rPr>
              <w:drawing>
                <wp:anchor distT="0" distB="0" distL="114300" distR="114300" simplePos="0" relativeHeight="251658240" behindDoc="0" locked="0" layoutInCell="1" allowOverlap="1" wp14:anchorId="26378FC9" wp14:editId="4F008EB0">
                  <wp:simplePos x="0" y="0"/>
                  <wp:positionH relativeFrom="column">
                    <wp:posOffset>222250</wp:posOffset>
                  </wp:positionH>
                  <wp:positionV relativeFrom="paragraph">
                    <wp:posOffset>40005</wp:posOffset>
                  </wp:positionV>
                  <wp:extent cx="1360681" cy="1359298"/>
                  <wp:effectExtent l="0" t="0" r="0" b="0"/>
                  <wp:wrapNone/>
                  <wp:docPr id="1327044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44742" name="Picture 1327044742"/>
                          <pic:cNvPicPr/>
                        </pic:nvPicPr>
                        <pic:blipFill rotWithShape="1">
                          <a:blip r:embed="rId7" cstate="print">
                            <a:extLst>
                              <a:ext uri="{28A0092B-C50C-407E-A947-70E740481C1C}">
                                <a14:useLocalDpi xmlns:a14="http://schemas.microsoft.com/office/drawing/2010/main" val="0"/>
                              </a:ext>
                            </a:extLst>
                          </a:blip>
                          <a:srcRect l="14969" r="14213"/>
                          <a:stretch/>
                        </pic:blipFill>
                        <pic:spPr bwMode="auto">
                          <a:xfrm>
                            <a:off x="0" y="0"/>
                            <a:ext cx="1360681" cy="13592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 w:type="dxa"/>
            <w:tcBorders>
              <w:top w:val="nil"/>
              <w:left w:val="nil"/>
              <w:bottom w:val="nil"/>
              <w:right w:val="nil"/>
            </w:tcBorders>
          </w:tcPr>
          <w:p w14:paraId="3CAFD99A" w14:textId="77777777" w:rsidR="005224A9" w:rsidRDefault="005224A9">
            <w:pPr>
              <w:rPr>
                <w:rFonts w:ascii="Avenir" w:eastAsia="Avenir" w:hAnsi="Avenir" w:cs="Avenir"/>
              </w:rPr>
            </w:pPr>
          </w:p>
        </w:tc>
        <w:tc>
          <w:tcPr>
            <w:tcW w:w="7165" w:type="dxa"/>
            <w:tcBorders>
              <w:top w:val="single" w:sz="6" w:space="0" w:color="000000"/>
              <w:left w:val="single" w:sz="6" w:space="0" w:color="000000"/>
              <w:bottom w:val="single" w:sz="12" w:space="0" w:color="000000"/>
              <w:right w:val="single" w:sz="12" w:space="0" w:color="000000"/>
            </w:tcBorders>
            <w:shd w:val="clear" w:color="auto" w:fill="E6E6E6"/>
          </w:tcPr>
          <w:p w14:paraId="413BCBA0" w14:textId="77777777" w:rsidR="005224A9" w:rsidRDefault="003F3CEB">
            <w:pPr>
              <w:jc w:val="center"/>
              <w:rPr>
                <w:rFonts w:ascii="Avenir" w:eastAsia="Avenir" w:hAnsi="Avenir" w:cs="Avenir"/>
                <w:b/>
                <w:sz w:val="30"/>
                <w:szCs w:val="30"/>
              </w:rPr>
            </w:pPr>
            <w:r>
              <w:rPr>
                <w:rFonts w:ascii="Avenir" w:eastAsia="Avenir" w:hAnsi="Avenir" w:cs="Avenir"/>
                <w:b/>
                <w:sz w:val="30"/>
                <w:szCs w:val="30"/>
              </w:rPr>
              <w:t xml:space="preserve">MURDISHAW WEST COMMUNITY </w:t>
            </w:r>
          </w:p>
          <w:p w14:paraId="2DFF9B6F" w14:textId="77777777" w:rsidR="005224A9" w:rsidRDefault="003F3CEB">
            <w:pPr>
              <w:jc w:val="center"/>
              <w:rPr>
                <w:rFonts w:ascii="Avenir" w:eastAsia="Avenir" w:hAnsi="Avenir" w:cs="Avenir"/>
                <w:b/>
                <w:sz w:val="40"/>
                <w:szCs w:val="40"/>
              </w:rPr>
            </w:pPr>
            <w:r>
              <w:rPr>
                <w:rFonts w:ascii="Avenir" w:eastAsia="Avenir" w:hAnsi="Avenir" w:cs="Avenir"/>
                <w:b/>
                <w:sz w:val="30"/>
                <w:szCs w:val="30"/>
              </w:rPr>
              <w:t>PRIMARY SCHOOL</w:t>
            </w:r>
          </w:p>
          <w:p w14:paraId="41FAB0CA" w14:textId="77777777" w:rsidR="005224A9" w:rsidRDefault="005224A9">
            <w:pPr>
              <w:rPr>
                <w:rFonts w:ascii="Avenir" w:eastAsia="Avenir" w:hAnsi="Avenir" w:cs="Avenir"/>
                <w:b/>
                <w:sz w:val="30"/>
                <w:szCs w:val="30"/>
              </w:rPr>
            </w:pPr>
          </w:p>
          <w:p w14:paraId="495D0974" w14:textId="6CA0F843" w:rsidR="005224A9" w:rsidRDefault="00C85436">
            <w:pPr>
              <w:jc w:val="center"/>
              <w:rPr>
                <w:rFonts w:ascii="Avenir" w:eastAsia="Avenir" w:hAnsi="Avenir" w:cs="Avenir"/>
                <w:b/>
                <w:sz w:val="32"/>
                <w:szCs w:val="32"/>
              </w:rPr>
            </w:pPr>
            <w:r>
              <w:rPr>
                <w:rFonts w:ascii="Avenir" w:eastAsia="Avenir" w:hAnsi="Avenir" w:cs="Avenir"/>
                <w:b/>
                <w:sz w:val="32"/>
                <w:szCs w:val="32"/>
              </w:rPr>
              <w:t>MATHEMATICS</w:t>
            </w:r>
            <w:r w:rsidR="003F3CEB">
              <w:rPr>
                <w:rFonts w:ascii="Avenir" w:eastAsia="Avenir" w:hAnsi="Avenir" w:cs="Avenir"/>
                <w:b/>
                <w:sz w:val="32"/>
                <w:szCs w:val="32"/>
              </w:rPr>
              <w:t xml:space="preserve"> POLICY</w:t>
            </w:r>
          </w:p>
          <w:p w14:paraId="11407957" w14:textId="4716C140" w:rsidR="005224A9" w:rsidRDefault="003F3CEB">
            <w:pPr>
              <w:jc w:val="center"/>
              <w:rPr>
                <w:rFonts w:ascii="Avenir" w:eastAsia="Avenir" w:hAnsi="Avenir" w:cs="Avenir"/>
                <w:b/>
                <w:sz w:val="30"/>
                <w:szCs w:val="30"/>
              </w:rPr>
            </w:pPr>
            <w:r>
              <w:rPr>
                <w:rFonts w:ascii="Avenir" w:eastAsia="Avenir" w:hAnsi="Avenir" w:cs="Avenir"/>
                <w:b/>
                <w:sz w:val="36"/>
                <w:szCs w:val="36"/>
              </w:rPr>
              <w:t>AUTUMN 202</w:t>
            </w:r>
            <w:r w:rsidR="0080418C">
              <w:rPr>
                <w:rFonts w:ascii="Avenir" w:eastAsia="Avenir" w:hAnsi="Avenir" w:cs="Avenir"/>
                <w:b/>
                <w:sz w:val="36"/>
                <w:szCs w:val="36"/>
              </w:rPr>
              <w:t>4</w:t>
            </w:r>
          </w:p>
        </w:tc>
      </w:tr>
    </w:tbl>
    <w:p w14:paraId="32E9F01A" w14:textId="77777777" w:rsidR="005224A9" w:rsidRDefault="005224A9">
      <w:pPr>
        <w:widowControl/>
        <w:spacing w:before="9" w:line="211" w:lineRule="auto"/>
        <w:rPr>
          <w:rFonts w:ascii="Avenir" w:eastAsia="Avenir" w:hAnsi="Avenir" w:cs="Avenir"/>
          <w:sz w:val="22"/>
          <w:szCs w:val="22"/>
        </w:rPr>
      </w:pPr>
    </w:p>
    <w:tbl>
      <w:tblPr>
        <w:tblStyle w:val="a0"/>
        <w:tblW w:w="1045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5211"/>
        <w:gridCol w:w="5245"/>
      </w:tblGrid>
      <w:tr w:rsidR="005224A9" w14:paraId="2FED72D0" w14:textId="77777777">
        <w:tc>
          <w:tcPr>
            <w:tcW w:w="5211" w:type="dxa"/>
            <w:shd w:val="clear" w:color="auto" w:fill="auto"/>
          </w:tcPr>
          <w:p w14:paraId="53ACE3E5" w14:textId="77777777" w:rsidR="005224A9" w:rsidRDefault="003F3CEB">
            <w:pPr>
              <w:widowControl/>
              <w:rPr>
                <w:rFonts w:ascii="Avenir" w:eastAsia="Avenir" w:hAnsi="Avenir" w:cs="Avenir"/>
              </w:rPr>
            </w:pPr>
            <w:r>
              <w:rPr>
                <w:rFonts w:ascii="Avenir" w:eastAsia="Avenir" w:hAnsi="Avenir" w:cs="Avenir"/>
              </w:rPr>
              <w:t>Policy Title</w:t>
            </w:r>
          </w:p>
        </w:tc>
        <w:tc>
          <w:tcPr>
            <w:tcW w:w="5245" w:type="dxa"/>
            <w:shd w:val="clear" w:color="auto" w:fill="auto"/>
          </w:tcPr>
          <w:p w14:paraId="2AAFA8DA" w14:textId="300C97F4" w:rsidR="005224A9" w:rsidRDefault="00C85436">
            <w:pPr>
              <w:widowControl/>
              <w:rPr>
                <w:rFonts w:ascii="Avenir" w:eastAsia="Avenir" w:hAnsi="Avenir" w:cs="Avenir"/>
              </w:rPr>
            </w:pPr>
            <w:r>
              <w:rPr>
                <w:rFonts w:ascii="Avenir" w:eastAsia="Avenir" w:hAnsi="Avenir" w:cs="Avenir"/>
              </w:rPr>
              <w:t>Mathematics Policy</w:t>
            </w:r>
          </w:p>
        </w:tc>
      </w:tr>
      <w:tr w:rsidR="005224A9" w14:paraId="04155DD0" w14:textId="77777777">
        <w:tc>
          <w:tcPr>
            <w:tcW w:w="5211" w:type="dxa"/>
            <w:shd w:val="clear" w:color="auto" w:fill="auto"/>
          </w:tcPr>
          <w:p w14:paraId="435A5135" w14:textId="77777777" w:rsidR="005224A9" w:rsidRDefault="003F3CEB">
            <w:pPr>
              <w:widowControl/>
              <w:rPr>
                <w:rFonts w:ascii="Avenir" w:eastAsia="Avenir" w:hAnsi="Avenir" w:cs="Avenir"/>
              </w:rPr>
            </w:pPr>
            <w:r>
              <w:rPr>
                <w:rFonts w:ascii="Avenir" w:eastAsia="Avenir" w:hAnsi="Avenir" w:cs="Avenir"/>
              </w:rPr>
              <w:t>School/HBC</w:t>
            </w:r>
          </w:p>
        </w:tc>
        <w:tc>
          <w:tcPr>
            <w:tcW w:w="5245" w:type="dxa"/>
            <w:shd w:val="clear" w:color="auto" w:fill="auto"/>
          </w:tcPr>
          <w:p w14:paraId="7AEA2834" w14:textId="77777777" w:rsidR="005224A9" w:rsidRDefault="003F3CEB">
            <w:pPr>
              <w:widowControl/>
              <w:rPr>
                <w:rFonts w:ascii="Avenir" w:eastAsia="Avenir" w:hAnsi="Avenir" w:cs="Avenir"/>
              </w:rPr>
            </w:pPr>
            <w:r>
              <w:rPr>
                <w:rFonts w:ascii="Avenir" w:eastAsia="Avenir" w:hAnsi="Avenir" w:cs="Avenir"/>
              </w:rPr>
              <w:t>School</w:t>
            </w:r>
          </w:p>
        </w:tc>
      </w:tr>
      <w:tr w:rsidR="005224A9" w14:paraId="64783BD8" w14:textId="77777777">
        <w:tc>
          <w:tcPr>
            <w:tcW w:w="5211" w:type="dxa"/>
            <w:shd w:val="clear" w:color="auto" w:fill="auto"/>
          </w:tcPr>
          <w:p w14:paraId="42BC9F0C" w14:textId="77777777" w:rsidR="005224A9" w:rsidRDefault="003F3CEB">
            <w:pPr>
              <w:widowControl/>
              <w:rPr>
                <w:rFonts w:ascii="Avenir" w:eastAsia="Avenir" w:hAnsi="Avenir" w:cs="Avenir"/>
              </w:rPr>
            </w:pPr>
            <w:r>
              <w:rPr>
                <w:rFonts w:ascii="Avenir" w:eastAsia="Avenir" w:hAnsi="Avenir" w:cs="Avenir"/>
              </w:rPr>
              <w:t>This policy complies with Halton LA guidance</w:t>
            </w:r>
          </w:p>
        </w:tc>
        <w:tc>
          <w:tcPr>
            <w:tcW w:w="5245" w:type="dxa"/>
            <w:shd w:val="clear" w:color="auto" w:fill="auto"/>
          </w:tcPr>
          <w:p w14:paraId="592E68D3" w14:textId="77777777" w:rsidR="005224A9" w:rsidRDefault="003F3CEB">
            <w:pPr>
              <w:widowControl/>
              <w:rPr>
                <w:rFonts w:ascii="Avenir" w:eastAsia="Avenir" w:hAnsi="Avenir" w:cs="Avenir"/>
              </w:rPr>
            </w:pPr>
            <w:r>
              <w:rPr>
                <w:rFonts w:ascii="Avenir" w:eastAsia="Avenir" w:hAnsi="Avenir" w:cs="Avenir"/>
              </w:rPr>
              <w:t>NA</w:t>
            </w:r>
          </w:p>
        </w:tc>
      </w:tr>
      <w:tr w:rsidR="005224A9" w14:paraId="02478192" w14:textId="77777777">
        <w:tc>
          <w:tcPr>
            <w:tcW w:w="5211" w:type="dxa"/>
            <w:shd w:val="clear" w:color="auto" w:fill="auto"/>
          </w:tcPr>
          <w:p w14:paraId="739CBB76" w14:textId="77777777" w:rsidR="005224A9" w:rsidRDefault="003F3CEB">
            <w:pPr>
              <w:widowControl/>
              <w:rPr>
                <w:rFonts w:ascii="Avenir" w:eastAsia="Avenir" w:hAnsi="Avenir" w:cs="Avenir"/>
              </w:rPr>
            </w:pPr>
            <w:r>
              <w:rPr>
                <w:rFonts w:ascii="Avenir" w:eastAsia="Avenir" w:hAnsi="Avenir" w:cs="Avenir"/>
              </w:rPr>
              <w:t>Linked Polices &amp; Documents</w:t>
            </w:r>
          </w:p>
        </w:tc>
        <w:tc>
          <w:tcPr>
            <w:tcW w:w="5245" w:type="dxa"/>
            <w:shd w:val="clear" w:color="auto" w:fill="auto"/>
          </w:tcPr>
          <w:p w14:paraId="5ED09095" w14:textId="77777777" w:rsidR="005224A9" w:rsidRDefault="003F3CEB">
            <w:pPr>
              <w:widowControl/>
              <w:rPr>
                <w:rFonts w:ascii="Avenir" w:eastAsia="Avenir" w:hAnsi="Avenir" w:cs="Avenir"/>
              </w:rPr>
            </w:pPr>
            <w:r>
              <w:rPr>
                <w:rFonts w:ascii="Avenir" w:eastAsia="Avenir" w:hAnsi="Avenir" w:cs="Avenir"/>
              </w:rPr>
              <w:t xml:space="preserve">Teaching and Learning </w:t>
            </w:r>
          </w:p>
        </w:tc>
      </w:tr>
      <w:tr w:rsidR="005224A9" w14:paraId="4DB3922B" w14:textId="77777777">
        <w:tc>
          <w:tcPr>
            <w:tcW w:w="5211" w:type="dxa"/>
            <w:shd w:val="clear" w:color="auto" w:fill="auto"/>
          </w:tcPr>
          <w:p w14:paraId="0C425E90" w14:textId="77777777" w:rsidR="005224A9" w:rsidRDefault="003F3CEB">
            <w:pPr>
              <w:widowControl/>
              <w:rPr>
                <w:rFonts w:ascii="Avenir" w:eastAsia="Avenir" w:hAnsi="Avenir" w:cs="Avenir"/>
              </w:rPr>
            </w:pPr>
            <w:r>
              <w:rPr>
                <w:rFonts w:ascii="Avenir" w:eastAsia="Avenir" w:hAnsi="Avenir" w:cs="Avenir"/>
              </w:rPr>
              <w:t>Written By</w:t>
            </w:r>
          </w:p>
        </w:tc>
        <w:tc>
          <w:tcPr>
            <w:tcW w:w="5245" w:type="dxa"/>
            <w:shd w:val="clear" w:color="auto" w:fill="auto"/>
          </w:tcPr>
          <w:p w14:paraId="69326758" w14:textId="7D8C6DBE" w:rsidR="005224A9" w:rsidRDefault="00C85436">
            <w:pPr>
              <w:widowControl/>
              <w:rPr>
                <w:rFonts w:ascii="Avenir" w:eastAsia="Avenir" w:hAnsi="Avenir" w:cs="Avenir"/>
              </w:rPr>
            </w:pPr>
            <w:r>
              <w:rPr>
                <w:rFonts w:ascii="Avenir" w:eastAsia="Avenir" w:hAnsi="Avenir" w:cs="Avenir"/>
              </w:rPr>
              <w:t>M Jones</w:t>
            </w:r>
          </w:p>
        </w:tc>
      </w:tr>
      <w:tr w:rsidR="005224A9" w14:paraId="1BA41978" w14:textId="77777777">
        <w:tc>
          <w:tcPr>
            <w:tcW w:w="5211" w:type="dxa"/>
            <w:shd w:val="clear" w:color="auto" w:fill="auto"/>
          </w:tcPr>
          <w:p w14:paraId="7CFB6C29" w14:textId="77777777" w:rsidR="005224A9" w:rsidRDefault="003F3CEB">
            <w:pPr>
              <w:widowControl/>
              <w:rPr>
                <w:rFonts w:ascii="Avenir" w:eastAsia="Avenir" w:hAnsi="Avenir" w:cs="Avenir"/>
              </w:rPr>
            </w:pPr>
            <w:r>
              <w:rPr>
                <w:rFonts w:ascii="Avenir" w:eastAsia="Avenir" w:hAnsi="Avenir" w:cs="Avenir"/>
              </w:rPr>
              <w:t>Staff Approval Date</w:t>
            </w:r>
          </w:p>
        </w:tc>
        <w:tc>
          <w:tcPr>
            <w:tcW w:w="5245" w:type="dxa"/>
            <w:shd w:val="clear" w:color="auto" w:fill="auto"/>
          </w:tcPr>
          <w:p w14:paraId="54715A5A" w14:textId="640FC650" w:rsidR="005224A9" w:rsidRDefault="003F3CEB">
            <w:pPr>
              <w:widowControl/>
              <w:rPr>
                <w:rFonts w:ascii="Avenir" w:eastAsia="Avenir" w:hAnsi="Avenir" w:cs="Avenir"/>
              </w:rPr>
            </w:pPr>
            <w:r>
              <w:rPr>
                <w:rFonts w:ascii="Avenir" w:eastAsia="Avenir" w:hAnsi="Avenir" w:cs="Avenir"/>
              </w:rPr>
              <w:t>September 202</w:t>
            </w:r>
            <w:r w:rsidR="001F12CB">
              <w:rPr>
                <w:rFonts w:ascii="Avenir" w:eastAsia="Avenir" w:hAnsi="Avenir" w:cs="Avenir"/>
              </w:rPr>
              <w:t>4</w:t>
            </w:r>
          </w:p>
        </w:tc>
      </w:tr>
      <w:tr w:rsidR="005224A9" w14:paraId="65563C1A" w14:textId="77777777">
        <w:tc>
          <w:tcPr>
            <w:tcW w:w="5211" w:type="dxa"/>
            <w:shd w:val="clear" w:color="auto" w:fill="auto"/>
          </w:tcPr>
          <w:p w14:paraId="0171E438" w14:textId="77777777" w:rsidR="005224A9" w:rsidRDefault="003F3CEB">
            <w:pPr>
              <w:widowControl/>
              <w:rPr>
                <w:rFonts w:ascii="Avenir" w:eastAsia="Avenir" w:hAnsi="Avenir" w:cs="Avenir"/>
              </w:rPr>
            </w:pPr>
            <w:r>
              <w:rPr>
                <w:rFonts w:ascii="Avenir" w:eastAsia="Avenir" w:hAnsi="Avenir" w:cs="Avenir"/>
              </w:rPr>
              <w:t xml:space="preserve">Date: </w:t>
            </w:r>
          </w:p>
        </w:tc>
        <w:tc>
          <w:tcPr>
            <w:tcW w:w="5245" w:type="dxa"/>
            <w:shd w:val="clear" w:color="auto" w:fill="auto"/>
          </w:tcPr>
          <w:p w14:paraId="094CE0BC" w14:textId="176C0B56" w:rsidR="005224A9" w:rsidRDefault="00C85436">
            <w:pPr>
              <w:widowControl/>
              <w:rPr>
                <w:rFonts w:ascii="Avenir" w:eastAsia="Avenir" w:hAnsi="Avenir" w:cs="Avenir"/>
              </w:rPr>
            </w:pPr>
            <w:r>
              <w:rPr>
                <w:rFonts w:ascii="Avenir" w:eastAsia="Avenir" w:hAnsi="Avenir" w:cs="Avenir"/>
              </w:rPr>
              <w:t>September 202</w:t>
            </w:r>
            <w:r w:rsidR="001F12CB">
              <w:rPr>
                <w:rFonts w:ascii="Avenir" w:eastAsia="Avenir" w:hAnsi="Avenir" w:cs="Avenir"/>
              </w:rPr>
              <w:t>4</w:t>
            </w:r>
          </w:p>
        </w:tc>
      </w:tr>
      <w:tr w:rsidR="005224A9" w14:paraId="087FBEB0" w14:textId="77777777">
        <w:tc>
          <w:tcPr>
            <w:tcW w:w="5211" w:type="dxa"/>
            <w:shd w:val="clear" w:color="auto" w:fill="auto"/>
          </w:tcPr>
          <w:p w14:paraId="384C9271" w14:textId="77777777" w:rsidR="005224A9" w:rsidRDefault="003F3CEB">
            <w:pPr>
              <w:widowControl/>
              <w:rPr>
                <w:rFonts w:ascii="Avenir" w:eastAsia="Avenir" w:hAnsi="Avenir" w:cs="Avenir"/>
              </w:rPr>
            </w:pPr>
            <w:r>
              <w:rPr>
                <w:rFonts w:ascii="Avenir" w:eastAsia="Avenir" w:hAnsi="Avenir" w:cs="Avenir"/>
              </w:rPr>
              <w:t>Review Date</w:t>
            </w:r>
          </w:p>
        </w:tc>
        <w:tc>
          <w:tcPr>
            <w:tcW w:w="5245" w:type="dxa"/>
            <w:shd w:val="clear" w:color="auto" w:fill="auto"/>
          </w:tcPr>
          <w:p w14:paraId="6C9AC4E0" w14:textId="6DC16C6F" w:rsidR="005224A9" w:rsidRDefault="003F3CEB">
            <w:pPr>
              <w:widowControl/>
              <w:rPr>
                <w:rFonts w:ascii="Avenir" w:eastAsia="Avenir" w:hAnsi="Avenir" w:cs="Avenir"/>
              </w:rPr>
            </w:pPr>
            <w:r>
              <w:rPr>
                <w:rFonts w:ascii="Avenir" w:eastAsia="Avenir" w:hAnsi="Avenir" w:cs="Avenir"/>
              </w:rPr>
              <w:t>Autumn 202</w:t>
            </w:r>
            <w:r w:rsidR="001F12CB">
              <w:rPr>
                <w:rFonts w:ascii="Avenir" w:eastAsia="Avenir" w:hAnsi="Avenir" w:cs="Avenir"/>
              </w:rPr>
              <w:t>5</w:t>
            </w:r>
          </w:p>
        </w:tc>
      </w:tr>
    </w:tbl>
    <w:p w14:paraId="27C31C6A" w14:textId="77777777" w:rsidR="005224A9" w:rsidRDefault="005224A9">
      <w:pPr>
        <w:widowControl/>
        <w:spacing w:before="9" w:line="211" w:lineRule="auto"/>
        <w:rPr>
          <w:rFonts w:ascii="Avenir" w:eastAsia="Avenir" w:hAnsi="Avenir" w:cs="Avenir"/>
          <w:b/>
          <w:sz w:val="24"/>
          <w:szCs w:val="24"/>
        </w:rPr>
      </w:pPr>
    </w:p>
    <w:p w14:paraId="0325C403" w14:textId="77777777" w:rsidR="005224A9" w:rsidRDefault="005224A9">
      <w:pPr>
        <w:widowControl/>
        <w:spacing w:before="9"/>
        <w:rPr>
          <w:rFonts w:ascii="Avenir" w:eastAsia="Avenir" w:hAnsi="Avenir" w:cs="Avenir"/>
          <w:sz w:val="22"/>
          <w:szCs w:val="22"/>
        </w:rPr>
      </w:pPr>
    </w:p>
    <w:p w14:paraId="6E0BC406" w14:textId="77777777" w:rsidR="00C85436" w:rsidRPr="00C85436" w:rsidRDefault="00C85436" w:rsidP="00C85436">
      <w:pPr>
        <w:rPr>
          <w:rFonts w:ascii="Trebuchet MS" w:hAnsi="Trebuchet MS"/>
          <w:b/>
          <w:bCs/>
          <w:sz w:val="32"/>
          <w:szCs w:val="32"/>
        </w:rPr>
      </w:pPr>
      <w:r w:rsidRPr="00C85436">
        <w:rPr>
          <w:rFonts w:ascii="Trebuchet MS" w:hAnsi="Trebuchet MS"/>
          <w:b/>
          <w:bCs/>
          <w:sz w:val="32"/>
          <w:szCs w:val="32"/>
        </w:rPr>
        <w:t>Intent</w:t>
      </w:r>
    </w:p>
    <w:p w14:paraId="546C173C" w14:textId="77777777" w:rsidR="00C85436" w:rsidRDefault="00C85436" w:rsidP="00C85436">
      <w:pPr>
        <w:rPr>
          <w:rFonts w:ascii="Trebuchet MS" w:hAnsi="Trebuchet MS"/>
        </w:rPr>
      </w:pPr>
    </w:p>
    <w:p w14:paraId="51C438C7" w14:textId="77777777" w:rsidR="00C85436" w:rsidRPr="001A01A9" w:rsidRDefault="00C85436" w:rsidP="00C85436">
      <w:pPr>
        <w:spacing w:line="276" w:lineRule="auto"/>
        <w:rPr>
          <w:rFonts w:ascii="Trebuchet MS" w:hAnsi="Trebuchet MS"/>
        </w:rPr>
      </w:pPr>
      <w:r w:rsidRPr="001A01A9">
        <w:rPr>
          <w:rStyle w:val="Strong"/>
          <w:rFonts w:ascii="Trebuchet MS" w:hAnsi="Trebuchet MS" w:cs="Segoe UI"/>
          <w:b w:val="0"/>
          <w:bCs w:val="0"/>
          <w:color w:val="000000"/>
        </w:rPr>
        <w:t>At Murdishaw West Community Primary School, we believe that students deserve a creative and ambitious mathematics curriculum, rich in skills and knowledge, which prepares them well for everyday life. We follow a</w:t>
      </w:r>
      <w:r w:rsidRPr="001A01A9">
        <w:rPr>
          <w:rFonts w:ascii="Trebuchet MS" w:hAnsi="Trebuchet MS"/>
        </w:rPr>
        <w:t xml:space="preserve"> carefully designed, planned and organised curriculum, to ensure coverage and progression for every learner. </w:t>
      </w:r>
    </w:p>
    <w:p w14:paraId="6FC31E48" w14:textId="3C0DA631" w:rsidR="00C85436" w:rsidRPr="001A01A9" w:rsidRDefault="00C85436" w:rsidP="00C85436">
      <w:pPr>
        <w:textAlignment w:val="baseline"/>
        <w:rPr>
          <w:rFonts w:ascii="Trebuchet MS" w:hAnsi="Trebuchet MS"/>
          <w:color w:val="000000"/>
          <w:bdr w:val="none" w:sz="0" w:space="0" w:color="auto" w:frame="1"/>
        </w:rPr>
      </w:pPr>
      <w:r w:rsidRPr="001A01A9">
        <w:rPr>
          <w:rFonts w:ascii="Trebuchet MS" w:hAnsi="Trebuchet MS"/>
          <w:color w:val="000000"/>
          <w:bdr w:val="none" w:sz="0" w:space="0" w:color="auto" w:frame="1"/>
        </w:rPr>
        <w:t xml:space="preserve">Our children will be taught Mathematics in a way that ensures progression of skills and follows a </w:t>
      </w:r>
      <w:r w:rsidR="001F12CB">
        <w:rPr>
          <w:rFonts w:ascii="Trebuchet MS" w:hAnsi="Trebuchet MS"/>
          <w:color w:val="000000"/>
          <w:bdr w:val="none" w:sz="0" w:space="0" w:color="auto" w:frame="1"/>
        </w:rPr>
        <w:t xml:space="preserve">small steps </w:t>
      </w:r>
      <w:r w:rsidRPr="001A01A9">
        <w:rPr>
          <w:rFonts w:ascii="Trebuchet MS" w:hAnsi="Trebuchet MS"/>
          <w:color w:val="000000"/>
          <w:bdr w:val="none" w:sz="0" w:space="0" w:color="auto" w:frame="1"/>
        </w:rPr>
        <w:t>sequence to build on previous learning.</w:t>
      </w:r>
    </w:p>
    <w:p w14:paraId="4AA903B6" w14:textId="6A92E416" w:rsidR="001F12CB" w:rsidRDefault="001A01A9" w:rsidP="001F12CB">
      <w:pPr>
        <w:jc w:val="both"/>
        <w:rPr>
          <w:rFonts w:ascii="Trebuchet MS" w:hAnsi="Trebuchet MS"/>
          <w:color w:val="000000"/>
        </w:rPr>
      </w:pPr>
      <w:r w:rsidRPr="001A01A9">
        <w:rPr>
          <w:rFonts w:ascii="Trebuchet MS" w:hAnsi="Trebuchet MS"/>
          <w:color w:val="000000"/>
        </w:rPr>
        <w:t xml:space="preserve">Teachers at Murdishaw West Community Primary School have been developing a mastery approach since 2014. Inspired by the exceptional performance of some Southeast Asian countries, school leaders researched the pedagogy and principles of mathematics teaching in </w:t>
      </w:r>
      <w:r w:rsidR="001F12CB">
        <w:rPr>
          <w:rFonts w:ascii="Trebuchet MS" w:hAnsi="Trebuchet MS"/>
          <w:color w:val="000000"/>
        </w:rPr>
        <w:t xml:space="preserve">this area and have since created an approach to teaching mathematics, </w:t>
      </w:r>
      <w:r w:rsidR="004664F1">
        <w:rPr>
          <w:rFonts w:ascii="Trebuchet MS" w:hAnsi="Trebuchet MS"/>
          <w:color w:val="000000"/>
        </w:rPr>
        <w:t>to be used alongside supporting materials from White Rose Education. We use</w:t>
      </w:r>
      <w:r w:rsidR="001F12CB">
        <w:rPr>
          <w:rFonts w:ascii="Trebuchet MS" w:hAnsi="Trebuchet MS"/>
          <w:color w:val="000000"/>
        </w:rPr>
        <w:t xml:space="preserve"> small steps </w:t>
      </w:r>
      <w:r w:rsidR="004664F1">
        <w:rPr>
          <w:rFonts w:ascii="Trebuchet MS" w:hAnsi="Trebuchet MS"/>
          <w:color w:val="000000"/>
        </w:rPr>
        <w:t xml:space="preserve">in learning to support </w:t>
      </w:r>
      <w:r w:rsidR="001F12CB">
        <w:rPr>
          <w:rFonts w:ascii="Trebuchet MS" w:hAnsi="Trebuchet MS"/>
          <w:color w:val="000000"/>
        </w:rPr>
        <w:t>children’s cognition and adapt</w:t>
      </w:r>
      <w:r w:rsidR="004664F1">
        <w:rPr>
          <w:rFonts w:ascii="Trebuchet MS" w:hAnsi="Trebuchet MS"/>
          <w:color w:val="000000"/>
        </w:rPr>
        <w:t xml:space="preserve"> </w:t>
      </w:r>
      <w:r w:rsidR="001F12CB">
        <w:rPr>
          <w:rFonts w:ascii="Trebuchet MS" w:hAnsi="Trebuchet MS"/>
          <w:color w:val="000000"/>
        </w:rPr>
        <w:t xml:space="preserve">teaching to support those with additional needs, ensuring every child </w:t>
      </w:r>
      <w:r w:rsidR="004664F1">
        <w:rPr>
          <w:rFonts w:ascii="Trebuchet MS" w:hAnsi="Trebuchet MS"/>
          <w:color w:val="000000"/>
        </w:rPr>
        <w:t>experiences</w:t>
      </w:r>
      <w:r w:rsidR="001F12CB">
        <w:rPr>
          <w:rFonts w:ascii="Trebuchet MS" w:hAnsi="Trebuchet MS"/>
          <w:color w:val="000000"/>
        </w:rPr>
        <w:t xml:space="preserve"> success.</w:t>
      </w:r>
    </w:p>
    <w:p w14:paraId="6232D5BB" w14:textId="3F45E2A1" w:rsidR="001A01A9" w:rsidRPr="004664F1" w:rsidRDefault="001F12CB" w:rsidP="004664F1">
      <w:pPr>
        <w:jc w:val="both"/>
        <w:rPr>
          <w:rFonts w:ascii="Trebuchet MS" w:hAnsi="Trebuchet MS"/>
          <w:color w:val="000000"/>
        </w:rPr>
      </w:pPr>
      <w:r w:rsidRPr="001A01A9">
        <w:rPr>
          <w:rStyle w:val="Strong"/>
          <w:rFonts w:ascii="Trebuchet MS" w:hAnsi="Trebuchet MS" w:cs="Segoe UI"/>
          <w:b w:val="0"/>
          <w:bCs w:val="0"/>
          <w:color w:val="000000"/>
        </w:rPr>
        <w:t xml:space="preserve">Our hope is for children of Murdishaw West Community Primary School </w:t>
      </w:r>
      <w:r w:rsidRPr="001A01A9">
        <w:rPr>
          <w:rFonts w:ascii="Trebuchet MS" w:eastAsia="Times New Roman" w:hAnsi="Trebuchet MS" w:cstheme="majorHAnsi"/>
          <w:bCs/>
          <w:color w:val="000000" w:themeColor="text1"/>
          <w:lang w:eastAsia="en-GB"/>
        </w:rPr>
        <w:t xml:space="preserve">to become confident mathematicians </w:t>
      </w:r>
      <w:r w:rsidRPr="001A01A9">
        <w:rPr>
          <w:rFonts w:ascii="Trebuchet MS" w:hAnsi="Trebuchet MS" w:cs="Segoe UI"/>
          <w:color w:val="000000"/>
        </w:rPr>
        <w:t>through varied and frequent practice</w:t>
      </w:r>
      <w:r w:rsidRPr="001A01A9">
        <w:rPr>
          <w:rFonts w:ascii="Trebuchet MS" w:eastAsia="Times New Roman" w:hAnsi="Trebuchet MS" w:cstheme="majorHAnsi"/>
          <w:bCs/>
          <w:color w:val="000000" w:themeColor="text1"/>
          <w:lang w:eastAsia="en-GB"/>
        </w:rPr>
        <w:t xml:space="preserve">, developing fluency, mathematical reasoning, and competence in solving increasingly sophisticated problems. </w:t>
      </w:r>
      <w:r w:rsidRPr="001A01A9">
        <w:rPr>
          <w:rFonts w:ascii="Trebuchet MS" w:hAnsi="Trebuchet MS" w:cs="Segoe UI"/>
          <w:color w:val="000000"/>
        </w:rPr>
        <w:t>Pupils will develop the ability to recall and apply knowledge rapidly and accurately.</w:t>
      </w:r>
    </w:p>
    <w:p w14:paraId="255C417D" w14:textId="77777777" w:rsidR="00C85436" w:rsidRPr="00C85436" w:rsidRDefault="00C85436" w:rsidP="00C85436">
      <w:pPr>
        <w:pStyle w:val="NormalWeb"/>
        <w:shd w:val="clear" w:color="auto" w:fill="FFFFFF"/>
        <w:spacing w:before="0" w:beforeAutospacing="0" w:after="0" w:afterAutospacing="0" w:line="360" w:lineRule="atLeast"/>
        <w:rPr>
          <w:rFonts w:ascii="Segoe UI" w:hAnsi="Segoe UI" w:cs="Segoe UI"/>
          <w:color w:val="000000"/>
          <w:sz w:val="20"/>
          <w:szCs w:val="20"/>
        </w:rPr>
      </w:pPr>
    </w:p>
    <w:p w14:paraId="5F4916E6" w14:textId="77777777" w:rsidR="00C85436" w:rsidRPr="00C85436" w:rsidRDefault="00C85436" w:rsidP="00C85436">
      <w:pPr>
        <w:pStyle w:val="NormalWeb"/>
        <w:shd w:val="clear" w:color="auto" w:fill="FFFFFF"/>
        <w:spacing w:before="0" w:beforeAutospacing="0" w:after="0" w:afterAutospacing="0" w:line="360" w:lineRule="atLeast"/>
        <w:rPr>
          <w:rFonts w:ascii="Segoe UI" w:hAnsi="Segoe UI" w:cs="Segoe UI"/>
          <w:b/>
          <w:bCs/>
          <w:color w:val="000000"/>
          <w:sz w:val="20"/>
          <w:szCs w:val="20"/>
        </w:rPr>
      </w:pPr>
    </w:p>
    <w:p w14:paraId="12006221" w14:textId="77777777" w:rsidR="00C85436" w:rsidRPr="00C85436" w:rsidRDefault="00C85436" w:rsidP="00C85436">
      <w:pPr>
        <w:rPr>
          <w:rFonts w:ascii="Trebuchet MS" w:hAnsi="Trebuchet MS"/>
          <w:b/>
          <w:bCs/>
          <w:sz w:val="32"/>
          <w:szCs w:val="32"/>
        </w:rPr>
      </w:pPr>
      <w:r w:rsidRPr="00C85436">
        <w:rPr>
          <w:rFonts w:ascii="Trebuchet MS" w:hAnsi="Trebuchet MS"/>
          <w:b/>
          <w:bCs/>
          <w:sz w:val="32"/>
          <w:szCs w:val="32"/>
        </w:rPr>
        <w:t>Implementation</w:t>
      </w:r>
    </w:p>
    <w:p w14:paraId="33C14708" w14:textId="77777777" w:rsidR="00C85436" w:rsidRPr="00C85436" w:rsidRDefault="00C85436" w:rsidP="00C85436">
      <w:pPr>
        <w:pStyle w:val="NormalWeb"/>
        <w:shd w:val="clear" w:color="auto" w:fill="FFFFFF"/>
        <w:spacing w:before="0" w:beforeAutospacing="0" w:after="0" w:afterAutospacing="0" w:line="360" w:lineRule="atLeast"/>
        <w:rPr>
          <w:rFonts w:ascii="Segoe UI" w:hAnsi="Segoe UI" w:cs="Segoe UI"/>
          <w:color w:val="000000"/>
          <w:sz w:val="20"/>
          <w:szCs w:val="20"/>
        </w:rPr>
      </w:pPr>
    </w:p>
    <w:p w14:paraId="18CEDCD8" w14:textId="747751DA" w:rsidR="00C85436" w:rsidRPr="001A01A9" w:rsidRDefault="00C85436" w:rsidP="00C85436">
      <w:pPr>
        <w:spacing w:line="276" w:lineRule="auto"/>
        <w:rPr>
          <w:rFonts w:ascii="Trebuchet MS" w:hAnsi="Trebuchet MS"/>
        </w:rPr>
      </w:pPr>
      <w:r w:rsidRPr="001A01A9">
        <w:rPr>
          <w:rFonts w:ascii="Trebuchet MS" w:hAnsi="Trebuchet MS"/>
        </w:rPr>
        <w:t xml:space="preserve">Our curriculum is underpinned by a mastery approach, using a </w:t>
      </w:r>
      <w:r w:rsidR="004664F1">
        <w:rPr>
          <w:rFonts w:ascii="Trebuchet MS" w:hAnsi="Trebuchet MS"/>
        </w:rPr>
        <w:t>revisit, teach, practise and apply model,</w:t>
      </w:r>
      <w:r w:rsidRPr="001A01A9">
        <w:rPr>
          <w:rFonts w:ascii="Trebuchet MS" w:hAnsi="Trebuchet MS"/>
        </w:rPr>
        <w:t xml:space="preserve"> to build upon previous learning and embed knowledge and understanding. Concepts are broken down into </w:t>
      </w:r>
      <w:proofErr w:type="gramStart"/>
      <w:r w:rsidRPr="001A01A9">
        <w:rPr>
          <w:rFonts w:ascii="Trebuchet MS" w:hAnsi="Trebuchet MS"/>
        </w:rPr>
        <w:t>small connected</w:t>
      </w:r>
      <w:proofErr w:type="gramEnd"/>
      <w:r w:rsidRPr="001A01A9">
        <w:rPr>
          <w:rFonts w:ascii="Trebuchet MS" w:hAnsi="Trebuchet MS"/>
        </w:rPr>
        <w:t xml:space="preserve"> steps, allowing children to learn from modelling and practise the necessary skills needed to answer a range of problem solving questions.</w:t>
      </w:r>
      <w:r w:rsidR="00F708A2">
        <w:rPr>
          <w:rFonts w:ascii="Trebuchet MS" w:hAnsi="Trebuchet MS"/>
        </w:rPr>
        <w:t xml:space="preserve"> </w:t>
      </w:r>
      <w:r w:rsidR="00F708A2" w:rsidRPr="00A454C6">
        <w:rPr>
          <w:rFonts w:ascii="Trebuchet MS" w:hAnsi="Trebuchet MS"/>
        </w:rPr>
        <w:t xml:space="preserve">By using White Rose Education to support our maths planning, teachers </w:t>
      </w:r>
      <w:proofErr w:type="gramStart"/>
      <w:r w:rsidR="00F708A2" w:rsidRPr="00A454C6">
        <w:rPr>
          <w:rFonts w:ascii="Trebuchet MS" w:hAnsi="Trebuchet MS"/>
        </w:rPr>
        <w:t>are able to</w:t>
      </w:r>
      <w:proofErr w:type="gramEnd"/>
      <w:r w:rsidR="00F708A2" w:rsidRPr="00A454C6">
        <w:rPr>
          <w:rFonts w:ascii="Trebuchet MS" w:hAnsi="Trebuchet MS"/>
        </w:rPr>
        <w:t xml:space="preserve"> plan and sequence lessons appropriate to the cohort of children in their care. Lessons are adapted to meet the needs of those with SEND, to ensure children achieve </w:t>
      </w:r>
      <w:r w:rsidR="00A454C6" w:rsidRPr="00A454C6">
        <w:rPr>
          <w:rFonts w:ascii="Trebuchet MS" w:hAnsi="Trebuchet MS"/>
        </w:rPr>
        <w:t>their potential.</w:t>
      </w:r>
    </w:p>
    <w:p w14:paraId="52FB0343" w14:textId="64D81F44" w:rsidR="00C85436" w:rsidRPr="001A01A9" w:rsidRDefault="00C85436" w:rsidP="00C85436">
      <w:pPr>
        <w:spacing w:line="276" w:lineRule="auto"/>
        <w:rPr>
          <w:rFonts w:ascii="Trebuchet MS" w:hAnsi="Trebuchet MS"/>
        </w:rPr>
      </w:pPr>
      <w:r w:rsidRPr="001A01A9">
        <w:rPr>
          <w:rFonts w:ascii="Trebuchet MS" w:hAnsi="Trebuchet MS"/>
        </w:rPr>
        <w:t xml:space="preserve">Manipulatives and pictorial representations are used to build and scaffold learning, with misconceptions addressed during lessons to ensure that children’s knowledge is accurate.  Effective questioning is used to get children thinking critically about a problem and the most efficient ways to work it out. Pupils are encouraged, through </w:t>
      </w:r>
      <w:r w:rsidR="004664F1">
        <w:rPr>
          <w:rFonts w:ascii="Trebuchet MS" w:hAnsi="Trebuchet MS"/>
        </w:rPr>
        <w:t>exploration</w:t>
      </w:r>
      <w:r w:rsidRPr="001A01A9">
        <w:rPr>
          <w:rFonts w:ascii="Trebuchet MS" w:hAnsi="Trebuchet MS"/>
        </w:rPr>
        <w:t>, to express their thinking in a range of ways, using deliberate mistakes to prove their answers.</w:t>
      </w:r>
    </w:p>
    <w:p w14:paraId="7A15A9D3" w14:textId="28FC74CD" w:rsidR="004664F1" w:rsidRPr="001A01A9" w:rsidRDefault="00C85436" w:rsidP="004664F1">
      <w:pPr>
        <w:spacing w:line="276" w:lineRule="auto"/>
        <w:rPr>
          <w:rFonts w:ascii="Trebuchet MS" w:hAnsi="Trebuchet MS"/>
        </w:rPr>
      </w:pPr>
      <w:r w:rsidRPr="001A01A9">
        <w:rPr>
          <w:rFonts w:ascii="Trebuchet MS" w:hAnsi="Trebuchet MS"/>
        </w:rPr>
        <w:t xml:space="preserve">All classes are taught maths on daily basis and </w:t>
      </w:r>
      <w:r w:rsidR="00726A36">
        <w:rPr>
          <w:rFonts w:ascii="Trebuchet MS" w:hAnsi="Trebuchet MS"/>
        </w:rPr>
        <w:t xml:space="preserve">in the afternoon </w:t>
      </w:r>
      <w:r w:rsidR="004664F1" w:rsidRPr="001A01A9">
        <w:rPr>
          <w:rFonts w:ascii="Trebuchet MS" w:hAnsi="Trebuchet MS"/>
        </w:rPr>
        <w:t xml:space="preserve">our KS1 children take part in an extra lesson called ‘Mastering Number’, which helps them to practise and master their number skills. </w:t>
      </w:r>
      <w:r w:rsidR="004664F1">
        <w:rPr>
          <w:rFonts w:ascii="Trebuchet MS" w:hAnsi="Trebuchet MS"/>
        </w:rPr>
        <w:t>Our EYFS children embed this practise into their daily lesson, whilst c</w:t>
      </w:r>
      <w:r w:rsidR="004664F1" w:rsidRPr="001A01A9">
        <w:rPr>
          <w:rFonts w:ascii="Trebuchet MS" w:hAnsi="Trebuchet MS"/>
        </w:rPr>
        <w:t>hildren from years 2 – 6 complete daily times table practise using Times Table Rock Stars.</w:t>
      </w:r>
    </w:p>
    <w:p w14:paraId="3C9AF324" w14:textId="2C20F35F" w:rsidR="004664F1" w:rsidRDefault="004664F1" w:rsidP="00C85436">
      <w:pPr>
        <w:spacing w:line="276" w:lineRule="auto"/>
        <w:rPr>
          <w:rFonts w:ascii="Trebuchet MS" w:hAnsi="Trebuchet MS"/>
        </w:rPr>
      </w:pPr>
    </w:p>
    <w:p w14:paraId="294BBDDC" w14:textId="59BF7A76" w:rsidR="001A01A9" w:rsidRPr="001A01A9" w:rsidRDefault="001A01A9" w:rsidP="00C85436">
      <w:pPr>
        <w:spacing w:line="276" w:lineRule="auto"/>
        <w:rPr>
          <w:rFonts w:ascii="Trebuchet MS" w:hAnsi="Trebuchet MS"/>
        </w:rPr>
      </w:pPr>
    </w:p>
    <w:p w14:paraId="21C9DD08" w14:textId="58313F6A" w:rsidR="001A01A9" w:rsidRPr="001A01A9" w:rsidRDefault="001A01A9" w:rsidP="00C85436">
      <w:pPr>
        <w:spacing w:line="276" w:lineRule="auto"/>
        <w:rPr>
          <w:rFonts w:ascii="Trebuchet MS" w:hAnsi="Trebuchet MS"/>
        </w:rPr>
      </w:pPr>
    </w:p>
    <w:p w14:paraId="427ECF0E" w14:textId="18EB2983" w:rsidR="001A01A9" w:rsidRPr="001A01A9" w:rsidRDefault="001A01A9" w:rsidP="00C85436">
      <w:pPr>
        <w:spacing w:line="276" w:lineRule="auto"/>
        <w:rPr>
          <w:rFonts w:ascii="Trebuchet MS" w:hAnsi="Trebuchet MS"/>
        </w:rPr>
      </w:pPr>
      <w:r w:rsidRPr="001A01A9">
        <w:rPr>
          <w:rFonts w:ascii="Trebuchet MS" w:hAnsi="Trebuchet MS"/>
        </w:rPr>
        <w:t xml:space="preserve">In classrooms, you can expect to see high levels of pupil engagement and involvement. Lessons usually begin with an interesting and engaging problem to </w:t>
      </w:r>
      <w:proofErr w:type="gramStart"/>
      <w:r w:rsidRPr="001A01A9">
        <w:rPr>
          <w:rFonts w:ascii="Trebuchet MS" w:hAnsi="Trebuchet MS"/>
        </w:rPr>
        <w:t>solve</w:t>
      </w:r>
      <w:proofErr w:type="gramEnd"/>
      <w:r w:rsidRPr="001A01A9">
        <w:rPr>
          <w:rFonts w:ascii="Trebuchet MS" w:hAnsi="Trebuchet MS"/>
        </w:rPr>
        <w:t xml:space="preserve"> and the teacher's role is to make this accessible to all. Pupil talk should be encouraged at every opportunity, enabling peer support, challenge and/or refinement of ideas. Teachers use pupils’ ideas to create a series of class discussions using effective questioning </w:t>
      </w:r>
      <w:r w:rsidR="004664F1">
        <w:rPr>
          <w:rFonts w:ascii="Trebuchet MS" w:hAnsi="Trebuchet MS"/>
        </w:rPr>
        <w:t xml:space="preserve">to challenge learning. </w:t>
      </w:r>
      <w:r w:rsidRPr="001A01A9">
        <w:rPr>
          <w:rFonts w:ascii="Trebuchet MS" w:hAnsi="Trebuchet MS"/>
        </w:rPr>
        <w:t>This helps children to reason and justify their choice of maths used to solve a problem.</w:t>
      </w:r>
    </w:p>
    <w:p w14:paraId="492BCB85" w14:textId="77777777" w:rsidR="001A01A9" w:rsidRPr="001A01A9" w:rsidRDefault="001A01A9" w:rsidP="00C85436">
      <w:pPr>
        <w:spacing w:line="276" w:lineRule="auto"/>
        <w:rPr>
          <w:rFonts w:ascii="Trebuchet MS" w:hAnsi="Trebuchet MS"/>
        </w:rPr>
      </w:pPr>
      <w:r w:rsidRPr="001A01A9">
        <w:rPr>
          <w:rFonts w:ascii="Trebuchet MS" w:hAnsi="Trebuchet MS"/>
        </w:rPr>
        <w:t xml:space="preserve">Gifted learners are challenged from the outset, being asked to prove or justify their ideas, create real—life authentic problems of their own or seek patterns within the problem/concept being explored. For example, in a year 5 lesson where pupils have an opportunity to practise long multiplication, some pupils will already be secure using this algorithm. In this instance, you are likely to see these pupils being challenged to think of different combinations of numbers that produce the same product (**x**=704). In this way challenge is provided through deepening conceptual understanding rather than acceleration onto new content. </w:t>
      </w:r>
    </w:p>
    <w:p w14:paraId="15A6CFE6" w14:textId="77777777" w:rsidR="001A01A9" w:rsidRDefault="001A01A9" w:rsidP="00C85436">
      <w:pPr>
        <w:spacing w:line="276" w:lineRule="auto"/>
        <w:rPr>
          <w:rFonts w:ascii="Trebuchet MS" w:hAnsi="Trebuchet MS"/>
        </w:rPr>
      </w:pPr>
    </w:p>
    <w:p w14:paraId="57848E6A" w14:textId="60C9B75F" w:rsidR="00F238E9" w:rsidRDefault="004664F1" w:rsidP="00C85436">
      <w:pPr>
        <w:spacing w:line="276" w:lineRule="auto"/>
        <w:rPr>
          <w:rFonts w:ascii="Trebuchet MS" w:hAnsi="Trebuchet MS"/>
        </w:rPr>
      </w:pPr>
      <w:r>
        <w:rPr>
          <w:rFonts w:ascii="Trebuchet MS" w:hAnsi="Trebuchet MS"/>
        </w:rPr>
        <w:t xml:space="preserve">Maths books are used </w:t>
      </w:r>
      <w:r w:rsidR="001A01A9" w:rsidRPr="001A01A9">
        <w:rPr>
          <w:rFonts w:ascii="Trebuchet MS" w:hAnsi="Trebuchet MS"/>
        </w:rPr>
        <w:t xml:space="preserve">in most lessons. </w:t>
      </w:r>
      <w:r>
        <w:rPr>
          <w:rFonts w:ascii="Trebuchet MS" w:hAnsi="Trebuchet MS"/>
        </w:rPr>
        <w:t>Maths books</w:t>
      </w:r>
      <w:r w:rsidR="001A01A9" w:rsidRPr="001A01A9">
        <w:rPr>
          <w:rFonts w:ascii="Trebuchet MS" w:hAnsi="Trebuchet MS"/>
        </w:rPr>
        <w:t xml:space="preserve"> are used to develop pupils’ communication skills and record children's thought processes, therefore deepening conceptual understanding. Once children have had the opportunity to refine their thinking, they are expected to record </w:t>
      </w:r>
      <w:proofErr w:type="gramStart"/>
      <w:r w:rsidR="001A01A9" w:rsidRPr="001A01A9">
        <w:rPr>
          <w:rFonts w:ascii="Trebuchet MS" w:hAnsi="Trebuchet MS"/>
        </w:rPr>
        <w:t>this using diagrams/drawings</w:t>
      </w:r>
      <w:proofErr w:type="gramEnd"/>
      <w:r w:rsidR="001A01A9" w:rsidRPr="001A01A9">
        <w:rPr>
          <w:rFonts w:ascii="Trebuchet MS" w:hAnsi="Trebuchet MS"/>
        </w:rPr>
        <w:t xml:space="preserve">, writing and abstract mathematical notation. </w:t>
      </w:r>
      <w:r w:rsidR="00F238E9">
        <w:rPr>
          <w:rFonts w:ascii="Trebuchet MS" w:hAnsi="Trebuchet MS"/>
        </w:rPr>
        <w:t>Children will then be given the opportunity to practise the concept taught, using additional questions or problems. Children who progress further will be given a task to apply their learning.</w:t>
      </w:r>
    </w:p>
    <w:p w14:paraId="745AB898" w14:textId="358CB4CB" w:rsidR="001A01A9" w:rsidRPr="001A01A9" w:rsidRDefault="001A01A9" w:rsidP="00C85436">
      <w:pPr>
        <w:spacing w:line="276" w:lineRule="auto"/>
        <w:rPr>
          <w:rFonts w:ascii="Trebuchet MS" w:hAnsi="Trebuchet MS"/>
        </w:rPr>
      </w:pPr>
      <w:r w:rsidRPr="001A01A9">
        <w:rPr>
          <w:rFonts w:ascii="Trebuchet MS" w:hAnsi="Trebuchet MS"/>
        </w:rPr>
        <w:t xml:space="preserve">Teachers’ expectations of </w:t>
      </w:r>
      <w:r w:rsidR="00F238E9">
        <w:rPr>
          <w:rFonts w:ascii="Trebuchet MS" w:hAnsi="Trebuchet MS"/>
        </w:rPr>
        <w:t>Maths books</w:t>
      </w:r>
      <w:r w:rsidRPr="001A01A9">
        <w:rPr>
          <w:rFonts w:ascii="Trebuchet MS" w:hAnsi="Trebuchet MS"/>
        </w:rPr>
        <w:t xml:space="preserve"> should be high, as should independence levels. </w:t>
      </w:r>
    </w:p>
    <w:p w14:paraId="1407C2F3" w14:textId="77777777" w:rsidR="001A01A9" w:rsidRDefault="001A01A9" w:rsidP="00C85436">
      <w:pPr>
        <w:spacing w:line="276" w:lineRule="auto"/>
        <w:rPr>
          <w:rFonts w:ascii="Trebuchet MS" w:hAnsi="Trebuchet MS"/>
        </w:rPr>
      </w:pPr>
    </w:p>
    <w:p w14:paraId="18AF1971" w14:textId="6581EDC2" w:rsidR="001A01A9" w:rsidRPr="001A01A9" w:rsidRDefault="00F238E9" w:rsidP="00C85436">
      <w:pPr>
        <w:spacing w:line="276" w:lineRule="auto"/>
        <w:rPr>
          <w:rFonts w:ascii="Trebuchet MS" w:hAnsi="Trebuchet MS"/>
        </w:rPr>
      </w:pPr>
      <w:r>
        <w:rPr>
          <w:rFonts w:ascii="Trebuchet MS" w:hAnsi="Trebuchet MS"/>
        </w:rPr>
        <w:t>Our EYFS</w:t>
      </w:r>
      <w:r w:rsidR="001A01A9" w:rsidRPr="001A01A9">
        <w:rPr>
          <w:rFonts w:ascii="Trebuchet MS" w:hAnsi="Trebuchet MS"/>
        </w:rPr>
        <w:t xml:space="preserve"> </w:t>
      </w:r>
      <w:r>
        <w:rPr>
          <w:rFonts w:ascii="Trebuchet MS" w:hAnsi="Trebuchet MS"/>
        </w:rPr>
        <w:t>cohort</w:t>
      </w:r>
      <w:r w:rsidR="001A01A9" w:rsidRPr="001A01A9">
        <w:rPr>
          <w:rFonts w:ascii="Trebuchet MS" w:hAnsi="Trebuchet MS"/>
        </w:rPr>
        <w:t xml:space="preserve"> follows a similar approach to the rest of the school, in that it uses the concrete, pictorial, abstract approach, allowing the children to explore a concept and discuss this to highlight mathematical language and vocabulary. This will then support each cohort in the transition into Year 1, recognising some of the equipment and representations already being used.</w:t>
      </w:r>
    </w:p>
    <w:p w14:paraId="1176F81F" w14:textId="77777777" w:rsidR="00C85436" w:rsidRPr="00C85436" w:rsidRDefault="00C85436" w:rsidP="00C85436">
      <w:pPr>
        <w:pStyle w:val="NormalWeb"/>
        <w:shd w:val="clear" w:color="auto" w:fill="FFFFFF"/>
        <w:spacing w:before="0" w:beforeAutospacing="0" w:after="0" w:afterAutospacing="0" w:line="360" w:lineRule="atLeast"/>
        <w:rPr>
          <w:rFonts w:ascii="Segoe UI" w:hAnsi="Segoe UI" w:cs="Segoe UI"/>
          <w:color w:val="000000"/>
          <w:sz w:val="20"/>
          <w:szCs w:val="20"/>
        </w:rPr>
      </w:pPr>
    </w:p>
    <w:p w14:paraId="1C197FBA" w14:textId="77777777" w:rsidR="00C85436" w:rsidRPr="00C85436" w:rsidRDefault="00C85436" w:rsidP="00C85436">
      <w:pPr>
        <w:pStyle w:val="NormalWeb"/>
        <w:shd w:val="clear" w:color="auto" w:fill="FFFFFF"/>
        <w:spacing w:before="0" w:beforeAutospacing="0" w:after="0" w:afterAutospacing="0" w:line="360" w:lineRule="atLeast"/>
        <w:rPr>
          <w:rFonts w:ascii="Segoe UI" w:hAnsi="Segoe UI" w:cs="Segoe UI"/>
          <w:b/>
          <w:bCs/>
          <w:color w:val="000000"/>
          <w:sz w:val="32"/>
          <w:szCs w:val="32"/>
        </w:rPr>
      </w:pPr>
    </w:p>
    <w:p w14:paraId="1945D179" w14:textId="77777777" w:rsidR="00C85436" w:rsidRPr="00C85436" w:rsidRDefault="00C85436" w:rsidP="00C85436">
      <w:pPr>
        <w:rPr>
          <w:rFonts w:ascii="Trebuchet MS" w:hAnsi="Trebuchet MS"/>
          <w:b/>
          <w:bCs/>
          <w:sz w:val="32"/>
          <w:szCs w:val="32"/>
        </w:rPr>
      </w:pPr>
      <w:r w:rsidRPr="00C85436">
        <w:rPr>
          <w:rFonts w:ascii="Trebuchet MS" w:hAnsi="Trebuchet MS"/>
          <w:b/>
          <w:bCs/>
          <w:sz w:val="32"/>
          <w:szCs w:val="32"/>
        </w:rPr>
        <w:t>Impact</w:t>
      </w:r>
    </w:p>
    <w:p w14:paraId="2681CCB3" w14:textId="77777777" w:rsidR="00C85436" w:rsidRPr="00C85436" w:rsidRDefault="00C85436" w:rsidP="00C85436">
      <w:pPr>
        <w:rPr>
          <w:rFonts w:ascii="Trebuchet MS" w:hAnsi="Trebuchet MS"/>
          <w:u w:val="single"/>
        </w:rPr>
      </w:pPr>
    </w:p>
    <w:p w14:paraId="5C96BC47" w14:textId="77777777" w:rsidR="00C85436" w:rsidRPr="00C85436" w:rsidRDefault="00C85436" w:rsidP="00C85436">
      <w:pPr>
        <w:rPr>
          <w:rFonts w:ascii="Trebuchet MS" w:hAnsi="Trebuchet MS"/>
        </w:rPr>
      </w:pPr>
      <w:r w:rsidRPr="00C85436">
        <w:rPr>
          <w:rFonts w:ascii="Trebuchet MS" w:hAnsi="Trebuchet MS"/>
        </w:rPr>
        <w:t>Our children enjoy and value mathematics and often talk about what they have been doing in lessons during celebration assemblies. Children will understand and appreciate the value of maths in the context of their personal and adult life. We hope their success in this area will lead to many career opportunities.</w:t>
      </w:r>
    </w:p>
    <w:p w14:paraId="1DC1D40D" w14:textId="212ABF63" w:rsidR="00C85436" w:rsidRPr="00C85436" w:rsidRDefault="00C85436" w:rsidP="00C85436">
      <w:pPr>
        <w:rPr>
          <w:rFonts w:ascii="Trebuchet MS" w:hAnsi="Trebuchet MS"/>
        </w:rPr>
      </w:pPr>
      <w:r w:rsidRPr="00C85436">
        <w:rPr>
          <w:rFonts w:ascii="Trebuchet MS" w:hAnsi="Trebuchet MS"/>
        </w:rPr>
        <w:t xml:space="preserve">Progress in maths is demonstrated through regularly reviewing children’s work to ensure that progression of skills is taking place. Children complete formative </w:t>
      </w:r>
      <w:r w:rsidR="00F238E9">
        <w:rPr>
          <w:rFonts w:ascii="Trebuchet MS" w:hAnsi="Trebuchet MS"/>
        </w:rPr>
        <w:t xml:space="preserve">assessments throughout each unit of work to allow for feedback to be discussed and action taken. Summative assessments are completed each term. </w:t>
      </w:r>
      <w:r w:rsidRPr="00C85436">
        <w:rPr>
          <w:rFonts w:ascii="Trebuchet MS" w:hAnsi="Trebuchet MS"/>
        </w:rPr>
        <w:t xml:space="preserve">Lesson walks also take place to ensure that </w:t>
      </w:r>
      <w:r w:rsidR="00F238E9">
        <w:rPr>
          <w:rFonts w:ascii="Trebuchet MS" w:hAnsi="Trebuchet MS"/>
        </w:rPr>
        <w:t>children</w:t>
      </w:r>
      <w:r w:rsidRPr="00C85436">
        <w:rPr>
          <w:rFonts w:ascii="Trebuchet MS" w:hAnsi="Trebuchet MS"/>
        </w:rPr>
        <w:t xml:space="preserve"> are being given the best opportunities to learn</w:t>
      </w:r>
      <w:r w:rsidR="00F238E9">
        <w:rPr>
          <w:rFonts w:ascii="Trebuchet MS" w:hAnsi="Trebuchet MS"/>
        </w:rPr>
        <w:t xml:space="preserve"> and represent their ideas in a number of ways.</w:t>
      </w:r>
    </w:p>
    <w:p w14:paraId="2FF0AB8C" w14:textId="77777777" w:rsidR="00C85436" w:rsidRPr="00C85436" w:rsidRDefault="00C85436" w:rsidP="00C85436">
      <w:pPr>
        <w:rPr>
          <w:rFonts w:ascii="Trebuchet MS" w:hAnsi="Trebuchet MS"/>
        </w:rPr>
      </w:pPr>
    </w:p>
    <w:p w14:paraId="3EF1F5DF" w14:textId="77777777" w:rsidR="00C85436" w:rsidRPr="00C85436" w:rsidRDefault="00C85436" w:rsidP="00C85436">
      <w:pPr>
        <w:rPr>
          <w:rFonts w:ascii="Trebuchet MS" w:hAnsi="Trebuchet MS"/>
        </w:rPr>
      </w:pPr>
      <w:r w:rsidRPr="00C85436">
        <w:rPr>
          <w:rFonts w:ascii="Trebuchet MS" w:hAnsi="Trebuchet MS"/>
        </w:rPr>
        <w:t xml:space="preserve">The maths curriculum allows children to consolidate and build upon prior learning, helping them to feel a sense of achievement and success in this curriculum area. </w:t>
      </w:r>
    </w:p>
    <w:p w14:paraId="637247F2" w14:textId="77777777" w:rsidR="00C85436" w:rsidRPr="00C85436" w:rsidRDefault="00C85436" w:rsidP="00C85436">
      <w:pPr>
        <w:rPr>
          <w:rFonts w:ascii="Trebuchet MS" w:hAnsi="Trebuchet MS"/>
        </w:rPr>
      </w:pPr>
      <w:r w:rsidRPr="00C85436">
        <w:rPr>
          <w:rFonts w:ascii="Trebuchet MS" w:hAnsi="Trebuchet MS"/>
        </w:rPr>
        <w:t>The curriculum will help them to become critical thinkers, with problem solving skills that are transferable through all subjects.</w:t>
      </w:r>
    </w:p>
    <w:p w14:paraId="79147F11" w14:textId="164B9E7C" w:rsidR="005224A9" w:rsidRDefault="005224A9" w:rsidP="00C85436">
      <w:pPr>
        <w:rPr>
          <w:rFonts w:ascii="Trebuchet MS" w:eastAsia="Trebuchet MS" w:hAnsi="Trebuchet MS" w:cs="Trebuchet MS"/>
          <w:b/>
          <w:sz w:val="32"/>
          <w:szCs w:val="32"/>
        </w:rPr>
      </w:pPr>
    </w:p>
    <w:sectPr w:rsidR="005224A9">
      <w:footerReference w:type="default" r:id="rId8"/>
      <w:pgSz w:w="11908"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B808" w14:textId="77777777" w:rsidR="00BE7232" w:rsidRDefault="00BE7232">
      <w:r>
        <w:separator/>
      </w:r>
    </w:p>
  </w:endnote>
  <w:endnote w:type="continuationSeparator" w:id="0">
    <w:p w14:paraId="1093B5F2" w14:textId="77777777" w:rsidR="00BE7232" w:rsidRDefault="00BE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0405F" w14:textId="77777777" w:rsidR="005224A9" w:rsidRDefault="003F3CE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85436">
      <w:rPr>
        <w:noProof/>
        <w:color w:val="000000"/>
      </w:rPr>
      <w:t>1</w:t>
    </w:r>
    <w:r>
      <w:rPr>
        <w:color w:val="000000"/>
      </w:rPr>
      <w:fldChar w:fldCharType="end"/>
    </w:r>
  </w:p>
  <w:p w14:paraId="1CB2560E" w14:textId="77777777" w:rsidR="005224A9" w:rsidRDefault="005224A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4E2A" w14:textId="77777777" w:rsidR="00BE7232" w:rsidRDefault="00BE7232">
      <w:r>
        <w:separator/>
      </w:r>
    </w:p>
  </w:footnote>
  <w:footnote w:type="continuationSeparator" w:id="0">
    <w:p w14:paraId="40FF0BE9" w14:textId="77777777" w:rsidR="00BE7232" w:rsidRDefault="00BE7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A9"/>
    <w:rsid w:val="001A01A9"/>
    <w:rsid w:val="001F12CB"/>
    <w:rsid w:val="003225DF"/>
    <w:rsid w:val="003F3CEB"/>
    <w:rsid w:val="004664F1"/>
    <w:rsid w:val="005224A9"/>
    <w:rsid w:val="00726A36"/>
    <w:rsid w:val="007A604F"/>
    <w:rsid w:val="0080418C"/>
    <w:rsid w:val="00A454C6"/>
    <w:rsid w:val="00BE7232"/>
    <w:rsid w:val="00C85436"/>
    <w:rsid w:val="00DB1D60"/>
    <w:rsid w:val="00F238E9"/>
    <w:rsid w:val="00F67F7C"/>
    <w:rsid w:val="00F7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B23D"/>
  <w15:docId w15:val="{F224A345-99D6-4297-BB73-0DD75548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widowControl/>
      <w:spacing w:line="278" w:lineRule="exact"/>
      <w:outlineLvl w:val="0"/>
    </w:pPr>
    <w:rPr>
      <w:b/>
      <w:bCs/>
      <w:sz w:val="24"/>
      <w:szCs w:val="24"/>
    </w:rPr>
  </w:style>
  <w:style w:type="paragraph" w:styleId="Heading2">
    <w:name w:val="heading 2"/>
    <w:basedOn w:val="Normal"/>
    <w:next w:val="Normal"/>
    <w:link w:val="Heading2Char"/>
    <w:uiPriority w:val="9"/>
    <w:semiHidden/>
    <w:unhideWhenUsed/>
    <w:qFormat/>
    <w:pPr>
      <w:keepNext/>
      <w:widowControl/>
      <w:shd w:val="clear" w:color="auto" w:fill="CCCCCC"/>
      <w:spacing w:line="283" w:lineRule="exact"/>
      <w:outlineLvl w:val="1"/>
    </w:pPr>
    <w:rPr>
      <w:b/>
      <w:bCs/>
      <w:sz w:val="24"/>
      <w:szCs w:val="24"/>
    </w:rPr>
  </w:style>
  <w:style w:type="paragraph" w:styleId="Heading3">
    <w:name w:val="heading 3"/>
    <w:basedOn w:val="Normal"/>
    <w:next w:val="Normal"/>
    <w:link w:val="Heading3Char"/>
    <w:uiPriority w:val="9"/>
    <w:semiHidden/>
    <w:unhideWhenUsed/>
    <w:qFormat/>
    <w:pPr>
      <w:keepNext/>
      <w:widowControl/>
      <w:spacing w:line="278" w:lineRule="exact"/>
      <w:jc w:val="center"/>
      <w:outlineLvl w:val="2"/>
    </w:pPr>
    <w:rPr>
      <w:b/>
      <w:bCs/>
      <w:sz w:val="22"/>
      <w:szCs w:val="22"/>
    </w:rPr>
  </w:style>
  <w:style w:type="paragraph" w:styleId="Heading4">
    <w:name w:val="heading 4"/>
    <w:basedOn w:val="Normal"/>
    <w:next w:val="Normal"/>
    <w:link w:val="Heading4Char"/>
    <w:uiPriority w:val="9"/>
    <w:semiHidden/>
    <w:unhideWhenUsed/>
    <w:qFormat/>
    <w:pPr>
      <w:keepNext/>
      <w:widowControl/>
      <w:spacing w:line="278" w:lineRule="exact"/>
      <w:ind w:left="1341" w:right="2399" w:hanging="65"/>
      <w:jc w:val="center"/>
      <w:outlineLvl w:val="3"/>
    </w:pPr>
    <w:rPr>
      <w:b/>
      <w:bCs/>
      <w:sz w:val="28"/>
      <w:szCs w:val="28"/>
    </w:rPr>
  </w:style>
  <w:style w:type="paragraph" w:styleId="Heading5">
    <w:name w:val="heading 5"/>
    <w:basedOn w:val="Normal"/>
    <w:next w:val="Normal"/>
    <w:link w:val="Heading5Char"/>
    <w:uiPriority w:val="9"/>
    <w:semiHidden/>
    <w:unhideWhenUsed/>
    <w:qFormat/>
    <w:pPr>
      <w:keepNext/>
      <w:widowControl/>
      <w:spacing w:line="278" w:lineRule="exact"/>
      <w:jc w:val="center"/>
      <w:outlineLvl w:val="4"/>
    </w:pPr>
    <w:rPr>
      <w:b/>
      <w:bCs/>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en-US"/>
    </w:rPr>
  </w:style>
  <w:style w:type="paragraph" w:styleId="BodyText">
    <w:name w:val="Body Text"/>
    <w:basedOn w:val="Normal"/>
    <w:link w:val="BodyTextChar"/>
    <w:uiPriority w:val="99"/>
    <w:pPr>
      <w:widowControl/>
      <w:spacing w:line="278" w:lineRule="exact"/>
    </w:pPr>
    <w:rPr>
      <w:rFonts w:ascii="Perpetua" w:hAnsi="Perpetua" w:cs="Perpetua"/>
      <w:i/>
      <w:iCs/>
      <w:sz w:val="24"/>
      <w:szCs w:val="24"/>
    </w:rPr>
  </w:style>
  <w:style w:type="character" w:customStyle="1" w:styleId="BodyTextChar">
    <w:name w:val="Body Text Char"/>
    <w:link w:val="BodyText"/>
    <w:uiPriority w:val="99"/>
    <w:semiHidden/>
    <w:rPr>
      <w:rFonts w:ascii="Arial" w:hAnsi="Arial" w:cs="Arial"/>
      <w:sz w:val="20"/>
      <w:szCs w:val="20"/>
      <w:lang w:eastAsia="en-US"/>
    </w:rPr>
  </w:style>
  <w:style w:type="paragraph" w:styleId="ListParagraph">
    <w:name w:val="List Paragraph"/>
    <w:basedOn w:val="Normal"/>
    <w:uiPriority w:val="34"/>
    <w:qFormat/>
    <w:rsid w:val="00827AA7"/>
    <w:pPr>
      <w:ind w:left="720"/>
    </w:pPr>
  </w:style>
  <w:style w:type="paragraph" w:styleId="Header">
    <w:name w:val="header"/>
    <w:basedOn w:val="Normal"/>
    <w:link w:val="HeaderChar"/>
    <w:uiPriority w:val="99"/>
    <w:unhideWhenUsed/>
    <w:rsid w:val="009A1F98"/>
    <w:pPr>
      <w:tabs>
        <w:tab w:val="center" w:pos="4513"/>
        <w:tab w:val="right" w:pos="9026"/>
      </w:tabs>
    </w:pPr>
  </w:style>
  <w:style w:type="character" w:customStyle="1" w:styleId="HeaderChar">
    <w:name w:val="Header Char"/>
    <w:link w:val="Header"/>
    <w:uiPriority w:val="99"/>
    <w:rsid w:val="009A1F98"/>
    <w:rPr>
      <w:rFonts w:ascii="Arial" w:hAnsi="Arial" w:cs="Arial"/>
      <w:lang w:eastAsia="en-US"/>
    </w:rPr>
  </w:style>
  <w:style w:type="paragraph" w:styleId="Footer">
    <w:name w:val="footer"/>
    <w:basedOn w:val="Normal"/>
    <w:link w:val="FooterChar"/>
    <w:uiPriority w:val="99"/>
    <w:unhideWhenUsed/>
    <w:rsid w:val="009A1F98"/>
    <w:pPr>
      <w:tabs>
        <w:tab w:val="center" w:pos="4513"/>
        <w:tab w:val="right" w:pos="9026"/>
      </w:tabs>
    </w:pPr>
  </w:style>
  <w:style w:type="character" w:customStyle="1" w:styleId="FooterChar">
    <w:name w:val="Footer Char"/>
    <w:link w:val="Footer"/>
    <w:uiPriority w:val="99"/>
    <w:rsid w:val="009A1F98"/>
    <w:rPr>
      <w:rFonts w:ascii="Arial" w:hAnsi="Arial" w:cs="Arial"/>
      <w:lang w:eastAsia="en-US"/>
    </w:rPr>
  </w:style>
  <w:style w:type="paragraph" w:styleId="BalloonText">
    <w:name w:val="Balloon Text"/>
    <w:basedOn w:val="Normal"/>
    <w:link w:val="BalloonTextChar"/>
    <w:uiPriority w:val="99"/>
    <w:semiHidden/>
    <w:unhideWhenUsed/>
    <w:rsid w:val="0033096D"/>
    <w:rPr>
      <w:rFonts w:ascii="Segoe UI" w:hAnsi="Segoe UI" w:cs="Segoe UI"/>
      <w:sz w:val="18"/>
      <w:szCs w:val="18"/>
    </w:rPr>
  </w:style>
  <w:style w:type="character" w:customStyle="1" w:styleId="BalloonTextChar">
    <w:name w:val="Balloon Text Char"/>
    <w:link w:val="BalloonText"/>
    <w:uiPriority w:val="99"/>
    <w:semiHidden/>
    <w:rsid w:val="0033096D"/>
    <w:rPr>
      <w:rFonts w:ascii="Segoe UI" w:hAnsi="Segoe UI" w:cs="Segoe UI"/>
      <w:sz w:val="18"/>
      <w:szCs w:val="18"/>
      <w:lang w:eastAsia="en-US"/>
    </w:rPr>
  </w:style>
  <w:style w:type="character" w:styleId="Hyperlink">
    <w:name w:val="Hyperlink"/>
    <w:basedOn w:val="DefaultParagraphFont"/>
    <w:uiPriority w:val="99"/>
    <w:unhideWhenUsed/>
    <w:rsid w:val="00427E1F"/>
    <w:rPr>
      <w:color w:val="0563C1" w:themeColor="hyperlink"/>
      <w:u w:val="single"/>
    </w:rPr>
  </w:style>
  <w:style w:type="character" w:styleId="UnresolvedMention">
    <w:name w:val="Unresolved Mention"/>
    <w:basedOn w:val="DefaultParagraphFont"/>
    <w:uiPriority w:val="99"/>
    <w:semiHidden/>
    <w:unhideWhenUsed/>
    <w:rsid w:val="00427E1F"/>
    <w:rPr>
      <w:color w:val="605E5C"/>
      <w:shd w:val="clear" w:color="auto" w:fill="E1DFDD"/>
    </w:rPr>
  </w:style>
  <w:style w:type="character" w:styleId="FollowedHyperlink">
    <w:name w:val="FollowedHyperlink"/>
    <w:basedOn w:val="DefaultParagraphFont"/>
    <w:uiPriority w:val="99"/>
    <w:semiHidden/>
    <w:unhideWhenUsed/>
    <w:rsid w:val="00427E1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C85436"/>
    <w:pPr>
      <w:widowControl/>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5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VBZ36p+NqIkfLKJIXmHNfH8Gw==">AMUW2mXD5uzjsQFLcfBeIMMMxiNoYHVvnzoe4X/yvzmxrpCoi/CJQCUEkRGKLOQdn4RtcTTUaLjwUwUwchZkje81nA0FuqqZJHOb2seRszq8++j8mZs8ric=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Melissa Jones</cp:lastModifiedBy>
  <cp:revision>4</cp:revision>
  <dcterms:created xsi:type="dcterms:W3CDTF">2024-08-20T14:00:00Z</dcterms:created>
  <dcterms:modified xsi:type="dcterms:W3CDTF">2024-09-06T10:49:00Z</dcterms:modified>
</cp:coreProperties>
</file>